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288" w:lineRule="auto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“规模以上大型企业”相关说明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0" w:firstLine="643" w:firstLineChars="200"/>
        <w:jc w:val="left"/>
        <w:textAlignment w:val="auto"/>
        <w:outlineLvl w:val="0"/>
        <w:rPr>
          <w:rFonts w:hint="eastAsia" w:ascii="黑体" w:hAnsi="黑体" w:eastAsia="黑体" w:cs="黑体"/>
          <w:b/>
          <w:sz w:val="32"/>
          <w:szCs w:val="32"/>
        </w:rPr>
      </w:pPr>
      <w:bookmarkStart w:id="0" w:name="heading_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一、文件说明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为明确本次招聘岗位要求中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“规模以上大型企业”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的判定标准，规范候选人任职经历核查口径，特制定本说明文件，作为招聘简章配套补充材料，适用于本次所有标注该任职要求的岗位。本说明严格依据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国家统计局现行“四上企业”（规模以上企业）统计认定标准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制定，确保判定依据合法合规、口径统一、权威可查。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二、核心定义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规模以上企业（规上企业）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是指按照国家统计局统一划定的经营规模、资质条件标准，依法纳入全国“一套表”联网直报统计范围，具备独立法人资格的企业单位，是国家核算区域经济、监测行业运行的核心市场主体，也是行业内具备一定经营规模、管理体系成熟的代表性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本次招聘提及的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“规模以上大型企业”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，特指满足下述行业认定标准，且经营规范、管理体系完善、具备规模化运营能力的规上法人企业，不含个体工商户、分公司、办事处及不具备独立法人资格的分支机构。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2" w:name="heading_2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三、分行业规上企业认定标准（现行有效·官方依据）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本标准源自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国家统计局全国一套表调查单位划分标准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，结合主流行业招聘场景，明确核心行业规上企业判定门槛，具体标准如下：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结合主流行业招聘场景，重点明确核心行业规上企业判定门槛，具体标准如下：</w:t>
      </w:r>
    </w:p>
    <w:tbl>
      <w:tblPr>
        <w:tblStyle w:val="2"/>
        <w:tblW w:w="0" w:type="auto"/>
        <w:jc w:val="center"/>
        <w:tblBorders>
          <w:top w:val="single" w:color="BEBEBE" w:themeColor="background1" w:themeShade="BF" w:sz="2" w:space="0"/>
          <w:left w:val="single" w:color="BEBEBE" w:themeColor="background1" w:themeShade="BF" w:sz="2" w:space="0"/>
          <w:bottom w:val="single" w:color="BEBEBE" w:themeColor="background1" w:themeShade="BF" w:sz="2" w:space="0"/>
          <w:right w:val="single" w:color="BEBEBE" w:themeColor="background1" w:themeShade="BF" w:sz="2" w:space="0"/>
          <w:insideH w:val="single" w:color="BEBEBE" w:themeColor="background1" w:themeShade="BF" w:sz="2" w:space="0"/>
          <w:insideV w:val="single" w:color="BEBEBE" w:themeColor="background1" w:themeShade="BF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核心认定标准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规模以上工业企业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年主营业务收入≥2000万元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涵盖制造业、采矿业、电力热力燃气及水生产供应业</w:t>
            </w: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限额以上批发企业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年主营业务收入≥2000万元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大宗商品批发、工业品批发等批发类行业</w:t>
            </w: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限额以上零售企业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年主营业务收入≥500万元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实体零售、线上零售等零售类行业</w:t>
            </w: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限额以上住宿餐饮企业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年主营业务收入≥200万元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酒店、餐饮、民宿等相关行业</w:t>
            </w: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有资质建筑业企业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具备住建部门核发的总承包或专业承包资质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不设营收门槛，以资质证书为准</w:t>
            </w: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规模以上服务业企业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分档标准：交通、信息、水利等行业年营收≥2000万元；租赁商务、科研等行业年营收≥1000万元；居民服务、文体娱乐等行业年营收≥500万元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涵盖现代服务业、生产性服务业、生活性服务业</w:t>
            </w:r>
          </w:p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BEBEBE" w:themeColor="background1" w:themeShade="BF" w:sz="2" w:space="0"/>
            <w:left w:val="single" w:color="BEBEBE" w:themeColor="background1" w:themeShade="BF" w:sz="2" w:space="0"/>
            <w:bottom w:val="single" w:color="BEBEBE" w:themeColor="background1" w:themeShade="BF" w:sz="2" w:space="0"/>
            <w:right w:val="single" w:color="BEBEBE" w:themeColor="background1" w:themeShade="BF" w:sz="2" w:space="0"/>
            <w:insideH w:val="single" w:color="BEBEBE" w:themeColor="background1" w:themeShade="BF" w:sz="2" w:space="0"/>
            <w:insideV w:val="single" w:color="BEBEBE" w:themeColor="background1" w:themeShade="BF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房地产开发经营企业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有实际开发经营活动的独立法人单位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纳入房地产开发经营业统计范围的规上企业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outlineLvl w:val="0"/>
        <w:rPr>
          <w:rFonts w:hint="eastAsia" w:ascii="黑体" w:hAnsi="黑体" w:eastAsia="黑体" w:cs="黑体"/>
          <w:b/>
          <w:sz w:val="24"/>
          <w:szCs w:val="24"/>
        </w:rPr>
      </w:pPr>
      <w:bookmarkStart w:id="3" w:name="heading_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四、特殊说明与核查口径</w:t>
      </w:r>
      <w:bookmarkEnd w:id="3"/>
    </w:p>
    <w:p>
      <w:pPr>
        <w:numPr>
          <w:ilvl w:val="0"/>
          <w:numId w:val="0"/>
        </w:numPr>
        <w:spacing w:before="120" w:after="120" w:line="288" w:lineRule="auto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_GoBack"/>
      <w:bookmarkEnd w:id="5"/>
      <w:r>
        <w:rPr>
          <w:rFonts w:hint="eastAsia" w:ascii="仿宋_GB2312" w:hAnsi="仿宋_GB2312" w:eastAsia="仿宋_GB2312" w:cs="仿宋_GB2312"/>
          <w:b/>
          <w:sz w:val="32"/>
          <w:szCs w:val="32"/>
        </w:rPr>
        <w:t>官方依据与动态管理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：规上企业（四上企业）名录由国家及地方统计局按年度动态审核调整，企业达标后次年纳入统计名录库，不达标则退出名录。候选人任职期间，该企业需处于统计局公示的规上企业名录内，任职经历方可认定有效。</w:t>
      </w:r>
    </w:p>
    <w:p>
      <w:pPr>
        <w:numPr>
          <w:ilvl w:val="0"/>
          <w:numId w:val="0"/>
        </w:numPr>
        <w:spacing w:before="120" w:after="120" w:line="288" w:lineRule="auto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有效性判定（官方核查路径）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：可通过国家统计局公示名录、地方统计局备案信息、企业纳税证明、营收审计报告、行业资质证书等官方/合规材料佐证企业规上资质，确保任职经历真实合规。</w:t>
      </w:r>
    </w:p>
    <w:p>
      <w:pPr>
        <w:numPr>
          <w:ilvl w:val="0"/>
          <w:numId w:val="0"/>
        </w:numPr>
        <w:spacing w:before="120" w:after="120" w:line="288" w:lineRule="auto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兜底说明</w:t>
      </w:r>
      <w:r>
        <w:rPr>
          <w:rFonts w:hint="eastAsia" w:ascii="仿宋_GB2312" w:hAnsi="仿宋_GB2312" w:eastAsia="仿宋_GB2312" w:cs="仿宋_GB2312"/>
          <w:sz w:val="32"/>
          <w:szCs w:val="32"/>
        </w:rPr>
        <w:t>：对于未列入上述行业的企业，若符合国家统计局划定的其他规上标准，且具备规模化经营实力、成熟管理体系，经招聘方核实后可予以认定。</w:t>
      </w:r>
    </w:p>
    <w:p>
      <w:pPr>
        <w:numPr>
          <w:ilvl w:val="0"/>
          <w:numId w:val="0"/>
        </w:numPr>
        <w:spacing w:before="120" w:after="120" w:line="288" w:lineRule="auto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动态管理原则</w:t>
      </w:r>
      <w:r>
        <w:rPr>
          <w:rFonts w:hint="eastAsia" w:ascii="仿宋_GB2312" w:hAnsi="仿宋_GB2312" w:eastAsia="仿宋_GB2312" w:cs="仿宋_GB2312"/>
          <w:sz w:val="32"/>
          <w:szCs w:val="32"/>
        </w:rPr>
        <w:t>：规上企业名录实行年度动态调整，企业达标后次年纳入统计名录，不达标则退出名录。候选人任职期间，该企业需处于规上企业名录内，任职经历方可认定有效。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40" w:lineRule="auto"/>
        <w:ind w:left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4" w:name="heading_4"/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五、附则</w:t>
      </w:r>
      <w:bookmarkEnd w:id="4"/>
    </w:p>
    <w:p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本说明依据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国家统计局规模以上（四上）企业调查单位划分标准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制定；若国家统计局调整认定标准，本说明同步更新并沿用最新官方口径。</w:t>
      </w:r>
    </w:p>
    <w:p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候选人需如实填报任职企业资质，若存在虚假信息，一经查实取消应聘或录用资格。</w:t>
      </w:r>
    </w:p>
    <w:p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本说明自发布之日起执行，与本次招聘简章具有同等效力。</w:t>
      </w:r>
    </w:p>
    <w:sectPr>
      <w:headerReference r:id="rId3" w:type="default"/>
      <w:footerReference r:id="rId4" w:type="default"/>
      <w:pgSz w:w="11905" w:h="16840"/>
      <w:pgMar w:top="1440" w:right="1701" w:bottom="1440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A757BF1"/>
    <w:rsid w:val="67925A03"/>
    <w:rsid w:val="785B0F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1309</Words>
  <Characters>1330</Characters>
  <TotalTime>13</TotalTime>
  <ScaleCrop>false</ScaleCrop>
  <LinksUpToDate>false</LinksUpToDate>
  <CharactersWithSpaces>1333</CharactersWithSpaces>
  <Application>WPS Office_11.8.6.9023_F1E327BC-269C-435d-A152-05C5408002CA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2026-03-18T03:18:00Z</dcterms:created>
  <dc:creator>Apache POI</dc:creator>
  <cp:lastModifiedBy>邹强</cp:lastModifiedBy>
  <dcterms:modified xsi:type="dcterms:W3CDTF">2026-03-18T06:33:45Z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eyJoZGlkIjoiYmEwZDBhOGJhZDY3MTI0ODk3ZDAyNDJiN2I0NjU3M2MiLCJ1c2VySWQiOiI0NTczMTkwNDUifQ==</vt:lpwstr>
  </property>
  <property fmtid="{D5CDD505-2E9C-101B-9397-08002B2CF9AE}" pid="3" name="KSOProductBuildVer">
    <vt:lpwstr>2052-11.8.6.9023</vt:lpwstr>
  </property>
  <property fmtid="{D5CDD505-2E9C-101B-9397-08002B2CF9AE}" pid="4" name="ICV">
    <vt:lpwstr>63BBE73CAF424B8586904E5299617F8F_12</vt:lpwstr>
  </property>
</Properties>
</file>